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6"/>
      </w:tblGrid>
      <w:tr w:rsidR="00000000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116"/>
            </w:tblGrid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E2302">
                  <w:pPr>
                    <w:spacing w:after="240"/>
                    <w:jc w:val="center"/>
                    <w:rPr>
                      <w:rFonts w:ascii="Arial" w:eastAsia="Times New Roman" w:hAnsi="Arial" w:cs="Arial"/>
                      <w:caps/>
                      <w:sz w:val="21"/>
                      <w:szCs w:val="21"/>
                    </w:rPr>
                  </w:pPr>
                  <w:bookmarkStart w:id="0" w:name="_GoBack"/>
                  <w:bookmarkEnd w:id="0"/>
                  <w:r>
                    <w:rPr>
                      <w:rFonts w:ascii="Arial" w:eastAsia="Times New Roman" w:hAnsi="Arial" w:cs="Arial"/>
                      <w:b/>
                      <w:bCs/>
                      <w:caps/>
                      <w:sz w:val="21"/>
                      <w:szCs w:val="21"/>
                    </w:rPr>
                    <w:t xml:space="preserve">Convenção Coletiva De Trabalho 2017/2018 </w:t>
                  </w: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384"/>
                    <w:gridCol w:w="150"/>
                    <w:gridCol w:w="2173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E230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EE230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E230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SC001668/2017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E230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DE REGISTRO NO MTE: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EE230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E230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01/08/2017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E230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DA SOLICITAÇÃO: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EE230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E230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MR044877/2017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E230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NÚMERO DO PROCESSO: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EE230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E230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46301.001080/2017-83 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E230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b/>
                            <w:bCs/>
                            <w:sz w:val="21"/>
                            <w:szCs w:val="21"/>
                          </w:rPr>
                          <w:t>DATA DO PROTOCOLO:</w:t>
                        </w: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50" w:type="dxa"/>
                        <w:vAlign w:val="center"/>
                        <w:hideMark/>
                      </w:tcPr>
                      <w:p w:rsidR="00000000" w:rsidRDefault="00EE230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E2302">
                        <w:pP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sz w:val="21"/>
                            <w:szCs w:val="21"/>
                          </w:rPr>
                          <w:t xml:space="preserve">31/07/2017 </w:t>
                        </w:r>
                      </w:p>
                    </w:tc>
                  </w:tr>
                </w:tbl>
                <w:p w:rsidR="00000000" w:rsidRDefault="00EE2302">
                  <w:pPr>
                    <w:rPr>
                      <w:rFonts w:eastAsia="Times New Roman"/>
                    </w:rPr>
                  </w:pPr>
                </w:p>
                <w:p w:rsidR="00000000" w:rsidRDefault="00EE2302">
                  <w:pPr>
                    <w:pStyle w:val="NormalWeb"/>
                  </w:pPr>
                  <w:r>
                    <w:rPr>
                      <w:b/>
                      <w:bCs/>
                    </w:rPr>
                    <w:t>Confira a autenticidade no endereço http://www3.mte.gov.br/sistemas/mediador/.</w:t>
                  </w:r>
                  <w:r>
                    <w:rPr>
                      <w:b/>
                      <w:bCs/>
                    </w:rPr>
                    <w:t xml:space="preserve"> </w:t>
                  </w:r>
                </w:p>
                <w:p w:rsidR="00000000" w:rsidRDefault="00EE2302">
                  <w:pPr>
                    <w:rPr>
                      <w:rFonts w:eastAsia="Times New Roman"/>
                    </w:rPr>
                  </w:pPr>
                </w:p>
              </w:tc>
            </w:tr>
            <w:tr w:rsidR="0000000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00000" w:rsidRDefault="00EE230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SINDICATO DOS EMPREGADOS NO COMERCIO E EM EMPRESAS DE SERVICOS CONTABEIS DE JOACABA, CNPJ n. 84.590.934/0001-10, neste ato representado(a) por seu Presidente, Sr(a). EDSON P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AULO DAMIN;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E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SIND DO COM VAREJ DE PRODUTOS FARMACEUTICOS DO OES CAT, CNPJ n. 80.623.622/0001-05, neste ato representado(a) por seu Presidente, Sr(a). SERGIO DE GIACOMETTI;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> 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  <w:t xml:space="preserve">celebram a presente CONVENÇÃO COLETIVA DE TRABALHO, estipulando as condições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de trabalho previstas nas cláusulas seguintes: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PRIMEIRA - VIGÊNCIA E DATA-BASE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As partes fixam a vigência da presente Convenção Coletiva de Trabalho no período de 30 de junho de 2017 a 01º de julho de 2018 e a data-base da categoria em 01º de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julho.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 xml:space="preserve">CLÁUSULA SEGUNDA - ABRANGÊNCIA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A presente Convenção Coletiva de Trabalho abrangerá a(s) categoria(s)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Dos Empregados no Comércio de Produtos Farmacêuticos, de uso Humano e Animal, Perfumaria, Cosméticos, Artigos Médicos, Ópticos e Ortopédicos, A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bdon Batista/SC, Brunópolis/SC, Celso Ramos/SC, Luzerna/SC, Monte Carlo/SC, Vargem Bonita/SC, Vargem/SC, Zortéa/SC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, com abrangência territorial em 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Água Doce/SC, Anita Garibaldi/SC, Campos Novos/SC, Capinzal/SC, Catanduvas/SC, Erval Velho/SC, Herval D'Oeste</w:t>
                  </w:r>
                  <w:r>
                    <w:rPr>
                      <w:rFonts w:ascii="Arial" w:hAnsi="Arial" w:cs="Arial"/>
                      <w:b/>
                      <w:bCs/>
                      <w:sz w:val="21"/>
                      <w:szCs w:val="21"/>
                    </w:rPr>
                    <w:t>/SC, Ibicaré/SC, Joaçaba/SC, Lacerdópolis/SC, Ouro/SC, Tangará/SC e Treze Tílias/SC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Salários, Reajustes 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Piso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TERCEIRA - SALÁRIO NORMATIVO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both"/>
                  </w:pPr>
                  <w:r>
                    <w:t>A partir de Julho de 2017 fica estabelecido um salário normativo para a  cat</w:t>
                  </w:r>
                  <w:r>
                    <w:t>egoria profissional do comércio de Produtos Farmacêuticos, de uso Humano e Animal, Perfumaria, Cosméticos, Artigos Médicos, Ópticos e Ortopédicos, para todos os municípios da base de abrangência desta Convenção Coletiva no valor de R$ 1.300,00 (hum mil e t</w:t>
                  </w:r>
                  <w:r>
                    <w:t>rezentos reais), inclusive aos empregados que exerçam a função de Office Boys.</w:t>
                  </w:r>
                </w:p>
                <w:p w:rsidR="00000000" w:rsidRDefault="00EE2302">
                  <w:pPr>
                    <w:jc w:val="both"/>
                  </w:pPr>
                  <w:r>
                    <w:t> </w:t>
                  </w:r>
                </w:p>
                <w:p w:rsidR="00000000" w:rsidRDefault="00EE230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A) Fica estabelecido um salário normativo, para os empregados na função de faxineiras, no valor de R$ 1,265,00 (hum mil duzentos e sessenta e cinco reais).</w:t>
                  </w:r>
                </w:p>
                <w:p w:rsidR="00000000" w:rsidRDefault="00EE2302">
                  <w:pPr>
                    <w:jc w:val="both"/>
                  </w:pPr>
                  <w:r>
                    <w:t> 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Reajustes/Corre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ções Salariais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QUARTA - CORREÇÃO SALARIAL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both"/>
                  </w:pPr>
                  <w:r>
                    <w:rPr>
                      <w:color w:val="000000"/>
                    </w:rPr>
                    <w:t>Os salários dos integrantes profissionais serão reajustados no mês de Julho/2017 pelo percentual de 4,5% (quatro virgula cinco por cento) sobre os Salá</w:t>
                  </w:r>
                  <w:r>
                    <w:rPr>
                      <w:color w:val="000000"/>
                    </w:rPr>
                    <w:t>rios de Julho de 2.016, para todas as faixas salariais podendo ser deduzidas as antecipações concedidas</w:t>
                  </w:r>
                  <w:r>
                    <w:rPr>
                      <w:color w:val="000000"/>
                    </w:rPr>
                    <w:t>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Pagamento de Salário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Formas e Prazos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QUINTA - SALÁRIO NORMATIVO AOS COMISSIONISTAS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both"/>
                  </w:pPr>
                  <w:r>
                    <w:t>Aos empregados que percebem somente por comissão,</w:t>
                  </w:r>
                  <w:r>
                    <w:t xml:space="preserve"> fica assegurado o salário normativo estabelecido para a categoria profissional.</w:t>
                  </w:r>
                </w:p>
                <w:p w:rsidR="00000000" w:rsidRDefault="00EE2302">
                  <w:pPr>
                    <w:jc w:val="both"/>
                  </w:pPr>
                  <w:r>
                    <w:rPr>
                      <w:sz w:val="22"/>
                      <w:szCs w:val="22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SEXTA - COMPROVANTE DE PAGAMENTO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As empresas fornecerão obrigatoriamente a seus empregados comprovante de pagamento mensal, contendo além da identificaçã</w:t>
                  </w:r>
                  <w:r>
                    <w:rPr>
                      <w:rFonts w:ascii="Arial" w:hAnsi="Arial" w:cs="Arial"/>
                    </w:rPr>
                    <w:t>o da Empresa, discriminação de todos os valores pagos, bem como dos respectivos descontos.</w:t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u w:val="single"/>
                    </w:rPr>
                    <w:t>Parágrafo Único</w:t>
                  </w:r>
                  <w:r>
                    <w:rPr>
                      <w:rFonts w:ascii="Arial" w:hAnsi="Arial" w:cs="Arial"/>
                    </w:rPr>
                    <w:t>: Se o pagamento do Salário for feito com cheque, a empresa concederá ao trabalhador o tempo necessário para descontá-lo no mesmo dia.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Remuneração D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SÉTIMA - REPOUSO SEMANAL REMUNERADO AOS COMISSIONISTAS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both"/>
                  </w:pPr>
                  <w:r>
                    <w:t>Fica estabelecido a obrigatoriedade do pagamento dos descansos semanais remunerados nos domingos e feriados aos comissionistas, sobre o valor das suas comissões.</w:t>
                  </w:r>
                </w:p>
                <w:p w:rsidR="00000000" w:rsidRDefault="00EE2302">
                  <w:pPr>
                    <w:jc w:val="both"/>
                  </w:pPr>
                  <w:r>
                    <w:rPr>
                      <w:color w:val="000000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Descontos Salaria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OITAVA - DESCONTOS DE CHEQUES SEM FUNDO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As empresas não descontarão da remuneração de seus empregados as importâncias correspondentes e despesas oriundas de cheques sem fundos, cheques e cartões de crédito roubados, clonados ou f</w:t>
                  </w:r>
                  <w:r>
                    <w:rPr>
                      <w:rFonts w:ascii="Arial" w:hAnsi="Arial" w:cs="Arial"/>
                    </w:rPr>
                    <w:t>alsificados e cédulas falsificadas, por estes recebidos quando na função de caixa ou serviços assemelhados, uma vez cumpridas as normas da empresa, que deverão ser estabelecidas previamente e por escrito.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NONA - DESCONTO OU ESTORNO DE COMISSÕES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Fica vedado às empresas descontarem ou estornarem da remuneração dos empregados, valores relativos a mercadorias retomadas pela empresa das parcelas não pagas.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a salários, reajustes, pagamentos e critérios para cálculo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SULA DÉCIMA - PROPORCIONALIDADE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both"/>
                  </w:pPr>
                  <w:r>
                    <w:t>A) Aos empregados admitidos após Julho/2016 fica assegurada a correção salarial na  proporção do tempo de serviço aplicando-se o INPC do período, conforme tabela abaixo:</w:t>
                  </w:r>
                </w:p>
                <w:p w:rsidR="00000000" w:rsidRDefault="00EE2302">
                  <w:pPr>
                    <w:jc w:val="both"/>
                  </w:pPr>
                  <w:r>
                    <w:t>   </w:t>
                  </w:r>
                </w:p>
                <w:p w:rsidR="00000000" w:rsidRDefault="00EE2302">
                  <w:pPr>
                    <w:jc w:val="both"/>
                  </w:pPr>
                  <w:r>
                    <w:t> </w:t>
                  </w:r>
                </w:p>
                <w:tbl>
                  <w:tblPr>
                    <w:tblW w:w="0" w:type="auto"/>
                    <w:jc w:val="center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250"/>
                    <w:gridCol w:w="2250"/>
                    <w:gridCol w:w="2250"/>
                    <w:gridCol w:w="2250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MÊS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ÍNDICE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MÊS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ÍNDICE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Ttulo4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t>            Julho/16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4,5%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Janeiro/17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3,06%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Agosto/16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3,84%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Fevereiro/17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2,63%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Setembro/16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3,52%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Março/17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2,39%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Outubro/16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3,44%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Abril/17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2,07%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Novembro/16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3,27%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Maio/17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1,99%</w:t>
                        </w:r>
                      </w:p>
                    </w:tc>
                  </w:tr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Dezembro/16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3,20%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Junho/17</w:t>
                        </w:r>
                      </w:p>
                    </w:tc>
                    <w:tc>
                      <w:tcPr>
                        <w:tcW w:w="22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  <w:jc w:val="center"/>
                        </w:pPr>
                        <w:r>
                          <w:t>1,63%</w:t>
                        </w:r>
                      </w:p>
                    </w:tc>
                  </w:tr>
                </w:tbl>
                <w:p w:rsidR="00000000" w:rsidRDefault="00EE2302">
                  <w:pPr>
                    <w:jc w:val="both"/>
                  </w:pPr>
                  <w:r>
                    <w:t> 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DÉCIMA PRIMEIRA - CÁLCULO DAS FÉRIAS E 13º SALÁRIO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O cálculo para o pagamento de férias e 13° salário aos comissionistas, será pelo valor médio das comissões dos últimos 06 (seis) meses.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SEGUNDA - DISCRIMINAÇÃO DAS REMUNERAÇÕES DOS COMISSIONISTAS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Os valores das remunerações percebi</w:t>
                  </w:r>
                  <w:r>
                    <w:rPr>
                      <w:rFonts w:ascii="Arial" w:hAnsi="Arial" w:cs="Arial"/>
                    </w:rPr>
                    <w:t>das pelos comissionistas nos últimos seis meses serão obrigatoriamente relacionados no verso da rescisão de Contrato de trabalho do empregado, por ocasião da homologação.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Gratificações, Adicionais, Auxílios e Outros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Adicional de Hora-Extra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USULA DÉCIMA TERCEIRA - HORAS EXTRAORDINÁRIAS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 jornada extraordinária de trabalho será remunerada com adicional de 75% (setenta e cinco por cento), sobre o valor da hora normal com exceção das horas nos acordos especiais.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DÉCIMA QUARTA - HOR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AS EXTRAS DOS COMISSIONISTAS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both"/>
                  </w:pPr>
                  <w:r>
                    <w:t> A remuneração das horas extras dos comissionistas tomará por base o salário fixo, se houver, mais o valor total das comissões auferidas durante o mês, dividido pelo número de horas contratuais efetivamente trabalhadas no mê</w:t>
                  </w:r>
                  <w:r>
                    <w:t>s, acrescentando-se ao valor da hora o adicional de horas extras estabelecido neste instrumento normativo.</w:t>
                  </w:r>
                </w:p>
                <w:p w:rsidR="00000000" w:rsidRDefault="00EE230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sz w:val="22"/>
                      <w:szCs w:val="22"/>
                    </w:rPr>
                    <w:t> 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QUINTA - HORAS EXTRAS DOS COMISSIONISTAS NOS BALANÇOS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 xml:space="preserve">A remuneração dos comissionistas nos balanços tomará </w:t>
                  </w:r>
                  <w:r>
                    <w:rPr>
                      <w:rFonts w:ascii="Arial" w:hAnsi="Arial" w:cs="Arial"/>
                    </w:rPr>
                    <w:t>por base o valor total das comissões auferidas naquele mês mais salário fixo se houver, dividindo-se pelo número de horas trabalhadas, acrescentando-se ao valor-hora do adicional estabelecido nesta Convenção Coletiva.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Outros Adicionais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DÉCIMA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SEXTA - QUEBRA DE CAIXA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As empresas remunerarão os empregados que exercem a função de caixa e ou assemelhados com o seguinte adicional:</w:t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A)  25% (vinte e cinco por cento), sobre o salário Normativo da categoria.</w:t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u w:val="single"/>
                    </w:rPr>
                    <w:t>Paragrafo Unico</w:t>
                  </w:r>
                  <w:r>
                    <w:rPr>
                      <w:rStyle w:val="Forte"/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O valor do quebra de cai</w:t>
                  </w:r>
                  <w:r>
                    <w:rPr>
                      <w:rFonts w:ascii="Arial" w:hAnsi="Arial" w:cs="Arial"/>
                    </w:rPr>
                    <w:t>xa integrará a base de calculo, para o pagamento das férias e do 13º salário, proporcional aos meses trabalhados na função.</w:t>
                  </w:r>
                </w:p>
                <w:p w:rsidR="00000000" w:rsidRDefault="00EE2302">
                  <w:pPr>
                    <w:jc w:val="both"/>
                  </w:pPr>
                  <w:r>
                    <w:t> 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Auxílio Transporte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SÉTIMA - VALE-TRANSPORTE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Fica estabelecida a obrigatoriedade do fornecimento do vale-tr</w:t>
                  </w:r>
                  <w:r>
                    <w:rPr>
                      <w:rFonts w:ascii="Arial" w:hAnsi="Arial" w:cs="Arial"/>
                    </w:rPr>
                    <w:t>ansporte a todos os empregados abrangidos pela presente Convenção, na forma da Lei 7.418, de 16/12/85.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Contrato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Admiss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Demiss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Modalidades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Normas para Admissão/Contratação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DÉCIMA OITAVA - ANOTAÇÃO NA CARTEIRA PROFISSIONA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both"/>
                  </w:pPr>
                  <w:r>
                    <w:t>As empresas deverão anotar na Carteira de Trabalho de seus empregados, os percentuais das comissões efetivamente percebidas sobre as vendas, bem como o salário fixo, se houver, e a função efetivamente exercida pelo empregado, observada a Classificação</w:t>
                  </w:r>
                  <w:r>
                    <w:t xml:space="preserve"> Brasileira de Ocupações</w:t>
                  </w:r>
                  <w:r>
                    <w:t>.</w:t>
                  </w:r>
                </w:p>
                <w:p w:rsidR="00000000" w:rsidRDefault="00EE2302">
                  <w:pPr>
                    <w:jc w:val="both"/>
                  </w:pPr>
                  <w:r>
                    <w:t> </w:t>
                  </w:r>
                </w:p>
                <w:p w:rsidR="00000000" w:rsidRDefault="00EE2302">
                  <w:pPr>
                    <w:jc w:val="both"/>
                  </w:pPr>
                  <w:r>
                    <w:rPr>
                      <w:color w:val="000000"/>
                    </w:rPr>
                    <w:t xml:space="preserve">Parágrafo Único – </w:t>
                  </w:r>
                  <w:r>
                    <w:t>Nenhum empregado será obrigado a exercer função senão a que estiver anotada na CTPS.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Desligamento/Demissão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DÉCIMA NONA - DISPENSA DO 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O empregado que comprovadamente obtiver novo em</w:t>
                  </w:r>
                  <w:r>
                    <w:rPr>
                      <w:rFonts w:ascii="Arial" w:hAnsi="Arial" w:cs="Arial"/>
                    </w:rPr>
                    <w:t>prego antes do término do aviso prévio, fica dispensado do cumprimento do mesmo, recebendo proporcionalmente os dias efetivamente trabalhados.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- RESCISÃO DE CONTRATO DE TRABALHO POR JUSTA CAUSA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both"/>
                  </w:pPr>
                  <w:r>
                    <w:rPr>
                      <w:color w:val="000000"/>
                    </w:rPr>
                    <w:t>No caso de rescisão de contrato de trab</w:t>
                  </w:r>
                  <w:r>
                    <w:rPr>
                      <w:color w:val="000000"/>
                    </w:rPr>
                    <w:t>alho por justa causa, a empresa deverá indicar por escrito, a falta grave cometida pelo empregado, sob pena de não poder alegá-la posteriormente em juízo</w:t>
                  </w:r>
                  <w:r>
                    <w:rPr>
                      <w:color w:val="000000"/>
                    </w:rPr>
                    <w:t>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PRIMEIRA - INDENIZAÇÃO POR TEMPO DE SERVIÇO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lastRenderedPageBreak/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 xml:space="preserve">Para os empregados com 05 (cinco) anos ou mais de serviço na mesma empresa, e que vier a ser dispensado sem justa causa por iniciativa do empregador, tem direito a uma indenização equivalente ao salário do mês, percebido no ato da sua rescisão de contrato </w:t>
                  </w:r>
                  <w:r>
                    <w:rPr>
                      <w:rFonts w:ascii="Arial" w:hAnsi="Arial" w:cs="Arial"/>
                    </w:rPr>
                    <w:t>sem qualquer reflexo.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Aviso Prévio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SEGUNDA - AVISO PRÉVIO MISTO LEI 12.506/2011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Quando o empregado for demitido o aviso prévio poderá ser trabalhado ou indenizado. Se for trabalhado será de apenas 30 dias, já os 03 (trê</w:t>
                  </w:r>
                  <w:r>
                    <w:rPr>
                      <w:rFonts w:ascii="Arial" w:hAnsi="Arial" w:cs="Arial"/>
                    </w:rPr>
                    <w:t>s) dias acrescidos pela Lei. 12.506 de 11 de Outubro de 2011 serão indenizados pelo empregador, tornando-se assim aviso prévio misto. E este aviso prévio trabalhado e ou indenizado será computado como tempo de serviço, e para todos os fins de verbas rescis</w:t>
                  </w:r>
                  <w:r>
                    <w:rPr>
                      <w:rFonts w:ascii="Arial" w:hAnsi="Arial" w:cs="Arial"/>
                    </w:rPr>
                    <w:t>órias.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Suspensão do Contrato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TERCEIRA - SUSPENSÃO DO CONTRATO DE EXPERIÊNCIA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O Contrato de Experiência ficará suspenso durante a concessão do benefício previdenciário, completando-se o tempo nele previsto após o termin</w:t>
                  </w:r>
                  <w:r>
                    <w:rPr>
                      <w:rFonts w:ascii="Arial" w:hAnsi="Arial" w:cs="Arial"/>
                    </w:rPr>
                    <w:t>o do referido benefício.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QUARTA - PAGAMENTO DAS VERBAS RESCISÓRIAS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both"/>
                  </w:pPr>
                  <w:r>
                    <w:rPr>
                      <w:color w:val="000000"/>
                    </w:rPr>
                    <w:t>A quitação das verbas rescisória será efetuada pela empresa de acordo com a Lei 7.855 Art. 477 da C.L.T</w:t>
                  </w:r>
                  <w:r>
                    <w:rPr>
                      <w:color w:val="000000"/>
                    </w:rPr>
                    <w:t>.</w:t>
                  </w:r>
                </w:p>
                <w:p w:rsidR="00000000" w:rsidRDefault="00EE2302">
                  <w:pPr>
                    <w:jc w:val="both"/>
                  </w:pPr>
                  <w:r>
                    <w:rPr>
                      <w:color w:val="000000"/>
                    </w:rPr>
                    <w:t>Quando o empregado pedir desligamento sem cumprimento do avis</w:t>
                  </w:r>
                  <w:r>
                    <w:rPr>
                      <w:color w:val="000000"/>
                    </w:rPr>
                    <w:t>o prévio à empresa terá 10 (dez) dias da data do desligamento para efetuar o pagamento, caso contrário incorrerá na multa acima.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a admissão, demissão e modalidades de contratação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VIGÉSIMA QUINTA - EMPREGADOS NOVOS ADM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ITIDOS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Durante a vigência da presente Convenção, os empregados admitidos não poderão perceber remuneração inferior à dos empregados dispensados, desde que admitidos para trabalho da mesma natureza, excluídas as vantagens pessoais e dispensada a necessid</w:t>
                  </w:r>
                  <w:r>
                    <w:rPr>
                      <w:rFonts w:ascii="Arial" w:hAnsi="Arial" w:cs="Arial"/>
                    </w:rPr>
                    <w:t>ade de comprovação de experiência anterior.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Condi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çõ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es de Trabalho, Normas de Pessoal e Estabilidades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Atribuições da Função/Desvio de Função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SEXTA - EMPREGADO SUBSTITUTO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Enquanto perdurar a substituição qu</w:t>
                  </w:r>
                  <w:r>
                    <w:rPr>
                      <w:rFonts w:ascii="Arial" w:hAnsi="Arial" w:cs="Arial"/>
                    </w:rPr>
                    <w:t>e não tenha caráter meramente eventual, o empregado fará jus ao salário do substituído</w:t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>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Mãe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SÉTIMA - GARANTIA DE EMPREGO À GESTANTE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 mulher gestante após o retorno à atividade na empresa, não poderá ser dispensada pe</w:t>
                  </w:r>
                  <w:r>
                    <w:rPr>
                      <w:rFonts w:ascii="Arial" w:hAnsi="Arial" w:cs="Arial"/>
                    </w:rPr>
                    <w:t>lo prazo de 60 (sessenta) dias, sendo que neste período não poderá ser dado o aviso prévio.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Estabilidade Acidentados/Portadores Doença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OITAVA - ESTABILIDADE AO EMPREGADO ACIDENTADO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Fica garantido o emprego ao acidentado, na forma do art. 118 da Lei 8.213/91, pelo período de 01(um) ano.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normas referentes a condições para o exercício do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VIGÉSIMA NONA - CONFERÊNCIA DO CAIXA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both"/>
                  </w:pPr>
                  <w:r>
                    <w:t>A conferência de valores em ca</w:t>
                  </w:r>
                  <w:r>
                    <w:t>ixa será realizada na presença do(a) operador(a) responsável e do(a) gerente ou seu substituto(a), dentro do turno de trabalho. Se houver qualquer impedimento para o acompanhamento da conferência, ficará o(a) empregado(a) isento de responsabilidade por eve</w:t>
                  </w:r>
                  <w:r>
                    <w:t>ntuais erros existentes.</w:t>
                  </w:r>
                </w:p>
                <w:p w:rsidR="00000000" w:rsidRDefault="00EE2302">
                  <w:pPr>
                    <w:jc w:val="both"/>
                  </w:pPr>
                  <w:r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- ABONO DE FALTAS AO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Será abonada a falta ao trabalhador(a) no caso de necessidade de acompanhamento em consulta médica,  de dependente até 14 (quatorze) anos de idade, mediante comprovação por</w:t>
                  </w:r>
                  <w:r>
                    <w:rPr>
                      <w:rFonts w:ascii="Arial" w:hAnsi="Arial" w:cs="Arial"/>
                    </w:rPr>
                    <w:t xml:space="preserve"> declaração médica.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PRIMEIRA - FORNECIMENTO DE LANCHE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As empresas fornecerão lanches gratuitamente a seus empregados, quando estes estiverem em regime de trabalho extraordinário, de no mínimo 2 horas.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SEGUNDA -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LOCAL PARA LANCHE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 empresa que não dispuser de cantina ou refeitório destinará local em condições de higiene, para que os empregados possam lanchar.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TERCEIRA - EMPREGADOS MAIS NOVOS NA EMPRESA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O empregado mais novo na Empresa nã</w:t>
                  </w:r>
                  <w:r>
                    <w:rPr>
                      <w:rFonts w:ascii="Arial" w:hAnsi="Arial" w:cs="Arial"/>
                    </w:rPr>
                    <w:t>o poderá perceber salário superior ao mais antigo na função, salvo em caso de existência de quadro de carreira homologado pelo Ministério do Trabalho.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QUARTA - CURSOS E REUNIÕES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As reuniõ</w:t>
                  </w:r>
                  <w:r>
                    <w:rPr>
                      <w:rFonts w:ascii="Arial" w:hAnsi="Arial" w:cs="Arial"/>
                    </w:rPr>
                    <w:t>es, quando o comparecimento for exigido pelo empregador, deverão ser realizadas durante a jornada de trabalho ou fora do horário normal mediante o pagamento de horas extras aos empregados participantes.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TRIGÉSIMA QUINTA - ABONO DE FALTAS AO EMPR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EGADO ESTUDANTE E VESTIBULANDO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 xml:space="preserve">Serão abonadas as faltas do empregado estudante ou vestibulando nos horários de exames regulares coincidentes com o de trabalho, desde que realizados em estabelecimentos de ensino </w:t>
                  </w:r>
                  <w:r>
                    <w:rPr>
                      <w:rFonts w:ascii="Arial" w:hAnsi="Arial" w:cs="Arial"/>
                    </w:rPr>
                    <w:lastRenderedPageBreak/>
                    <w:t>oficial ou autorizados legalmente e median</w:t>
                  </w:r>
                  <w:r>
                    <w:rPr>
                      <w:rFonts w:ascii="Arial" w:hAnsi="Arial" w:cs="Arial"/>
                    </w:rPr>
                    <w:t>te comunicação prévia ao empregador, com no mínimo de 72 (setenta e duas) horas.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Jornada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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Dura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Distribui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çã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o, Controle, Faltas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Compensação de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SEXTA - COMPENSAÇÃO DO HORÁRIO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As empresas, resp</w:t>
                  </w:r>
                  <w:r>
                    <w:rPr>
                      <w:rFonts w:ascii="Arial" w:hAnsi="Arial" w:cs="Arial"/>
                    </w:rPr>
                    <w:t>eitando a carga horária máxima semanal de 44 (quarenta e quatro) horas de trabalho dos empregados, poderão estabelecer a duração diária superior a normal, até o limite máximo permitido legalmente, visando a compensação das  horas não trabalhadas na semana,</w:t>
                  </w:r>
                  <w:r>
                    <w:rPr>
                      <w:rFonts w:ascii="Arial" w:hAnsi="Arial" w:cs="Arial"/>
                    </w:rPr>
                    <w:t xml:space="preserve"> inclusive em relação a supressão do trabalho aos  sábados, sem que esse acréscimo seja considerado como horas extras.</w:t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                        Parágrafo 1° - A compensação é extensiva a todos os empregados do comércio.</w:t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 xml:space="preserve">                        Parágrafo 2° </w:t>
                  </w:r>
                  <w:r>
                    <w:rPr>
                      <w:rFonts w:ascii="Arial" w:hAnsi="Arial" w:cs="Arial"/>
                    </w:rPr>
                    <w:t>- As empresas deverão elaborar um quadro de horário de trabalho nos critérios estabelecidos pela legislação em vigor e por esta Convenção, fixando o mesmo em lugar visível aos empregados.</w:t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                        Parágrafo 3° - Ficam válidos os acordos indi</w:t>
                  </w:r>
                  <w:r>
                    <w:rPr>
                      <w:rFonts w:ascii="Arial" w:hAnsi="Arial" w:cs="Arial"/>
                    </w:rPr>
                    <w:t>viduais ou coletivos,  existentes anteriores a presente Convenção Coletiva.</w:t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                        Parágrafo 4° - O disposto nesta cláusula somente será aplicado para menores, observadas as disposições legais.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Controle da Jornada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TRIGÉSIMA 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ÉTIMA - CONTROLE DE HORÁRIO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Fica obrigatória a utilização de registro manual, mecânico, eletrônico ou outra forma estabelecida em Lei para efetivo controle de horário de trabalho, com qualquer número de empregados.</w:t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u w:val="single"/>
                    </w:rPr>
                    <w:t>Parágrafo Único</w:t>
                  </w:r>
                  <w:r>
                    <w:rPr>
                      <w:rFonts w:ascii="Arial" w:hAnsi="Arial" w:cs="Arial"/>
                    </w:rPr>
                    <w:t>: Em caso d</w:t>
                  </w:r>
                  <w:r>
                    <w:rPr>
                      <w:rFonts w:ascii="Arial" w:hAnsi="Arial" w:cs="Arial"/>
                    </w:rPr>
                    <w:t>e cartão eletrônico/mecanizado, as Empresas são obrigadas a utilizar equipamentos que forneçam o relatório diário de suas horas trabalhadas ao fim do expediente ao trabalhador.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Remuneração de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br/>
                    <w:t>CLÁUSULA TRIGÉSIMA OITAVA - FÉR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IAS PROPORCIONAIS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O empregado que rescindir espontaneamente o seu contrato de trabalho antes de completar um ano de serviço, terá direito ao recebimento de férias proporcionais, a razão de 1/12 (um doze avos) da respectiva remuneração mensal, por mês co</w:t>
                  </w:r>
                  <w:r>
                    <w:rPr>
                      <w:rFonts w:ascii="Arial" w:hAnsi="Arial" w:cs="Arial"/>
                    </w:rPr>
                    <w:t>mpleto de trabalho ou fração superior a 14 (quatorze) dias.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Outras disposições sobre férias e licenças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TRIGÉSIMA NONA - INÍCIO DO PERÍODO DE GOZO DAS FÉRIAS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O início das férias coletivas e individuais não poderá coincidir com sábado, domin</w:t>
                  </w:r>
                  <w:r>
                    <w:rPr>
                      <w:rFonts w:ascii="Arial" w:hAnsi="Arial" w:cs="Arial"/>
                    </w:rPr>
                    <w:t>go, feriado ou dia de folga (compensação de repouso semanal).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Saúde e Segurança do Trabalhador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Condições de Ambiente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- ASSENTOS NOS LOCAIS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Haverá assentos nos locais de trabalho para os empregados, e</w:t>
                  </w:r>
                  <w:r>
                    <w:rPr>
                      <w:rFonts w:ascii="Arial" w:hAnsi="Arial" w:cs="Arial"/>
                    </w:rPr>
                    <w:t>m local onde possam ser utilizados durante as pausas permitidas pelo serviço no intervalo de atendimento.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PRIMEIRA - ASSENTO AOS CAIXAS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 xml:space="preserve">O Empregador fica obrigado a manter uma cadeira de trabalho aos operadores de caixa adequada </w:t>
                  </w:r>
                  <w:r>
                    <w:rPr>
                      <w:rFonts w:ascii="Arial" w:hAnsi="Arial" w:cs="Arial"/>
                    </w:rPr>
                    <w:t>à função, em conformidade com a NR nº 17.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Uniforme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SEGUNDA - UNIFORMES, CALÇADOS E MAQUIAGEM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lastRenderedPageBreak/>
                    <w:t>Serão fornecidos gratuitamente ao trabalhador, quando exigidos por lei ou pelo empregador, todos os equipamentos de proteção individu</w:t>
                  </w:r>
                  <w:r>
                    <w:rPr>
                      <w:rFonts w:ascii="Arial" w:hAnsi="Arial" w:cs="Arial"/>
                    </w:rPr>
                    <w:t>al, bem como uniformes, calçados, maquiagens e instrumentos de trabalho.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Aceitação de Atestados Médicos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TERCEIRA - ATESTADO MÉDICO E ODONTOLÓGICO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both"/>
                  </w:pPr>
                  <w:r>
                    <w:rPr>
                      <w:color w:val="000000"/>
                    </w:rPr>
                    <w:t>Os atestados fornecidos por médicos e dentistas serã</w:t>
                  </w:r>
                  <w:r>
                    <w:rPr>
                      <w:color w:val="000000"/>
                    </w:rPr>
                    <w:t>o aceitos pelas Empresas para todos os efeitos legais, desde que entregues no prazo de até 72 (setenta e duas) horas após o afastamento do empregado ou no retorno se inferior a este prazo</w:t>
                  </w:r>
                  <w:r>
                    <w:rPr>
                      <w:color w:val="000000"/>
                    </w:rPr>
                    <w:t>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Relações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Sindicalização (campanhas e contratação de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sindicalizados)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QUARTA - SINDICALIZAÇÃO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As empresas se comprometem a colaborar na Sindicalização dos Empregados em especial na admissão, além do recolhimento aos cofres sindicais, as mensalidades e outras contribuições expedidas</w:t>
                  </w:r>
                  <w:r>
                    <w:rPr>
                      <w:rFonts w:ascii="Arial" w:hAnsi="Arial" w:cs="Arial"/>
                    </w:rPr>
                    <w:t xml:space="preserve"> e estabelecidas.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Acesso do Sindicato ao Local de Trabalho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QUINTA - ACESSO DE DIRIGENTES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 xml:space="preserve">Fica assegurado o acesso dos dirigentes sindicais às empresas, para o desempenho de suas funções Sindicais previamente avisado </w:t>
                  </w:r>
                  <w:r>
                    <w:rPr>
                      <w:rFonts w:ascii="Arial" w:hAnsi="Arial" w:cs="Arial"/>
                    </w:rPr>
                    <w:t>a empresa.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Garantias a Diretores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SEXTA - LIBERAÇÃO DO DIRIGENTE SINDICAL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As empresas liberarão um membro da diretoria do Sindicato dos Empregados no Comércio de Joaçaba, por empresa sem prejuízo de seus  salários até</w:t>
                  </w:r>
                  <w:r>
                    <w:rPr>
                      <w:rFonts w:ascii="Arial" w:hAnsi="Arial" w:cs="Arial"/>
                    </w:rPr>
                    <w:t xml:space="preserve"> 10 (dez) dias por ano, sendo no máximo 02 (dois) dias por mês, para participar de reuniões, assembléias ou encontros de trabalhadores, desde que previamente solicitado pelo sindicato.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Acesso a Informações da Empresa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QUADRAGÉSIMA SÉTIMA - QUA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DRO DE AVISOS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Fica permitida a colocação de quadros de avisos, sob responsabilidade da entidade sindical, no âmbito da empresa para fixação de editais, avisos e notícias sindicais.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Contribuições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QUADRAGÉSIMA OITAVA - CONTRIBUIÇÃO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NEGOCIAL PATRONAL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both"/>
                  </w:pPr>
                  <w:r>
                    <w:t>As empresas que compõe a categoria econômica e são beneficiarias desta convenção, recolherão ao Sindicato do Comércio Varejista de Produtos  Farmacêuticos do Oeste de Santa Catarina, até o dia 02/10/2017, o valor correspondente a R$ 4</w:t>
                  </w:r>
                  <w:r>
                    <w:t>0.00 (quarenta reais) por empregado que mantiver em seu quadro na referida data, a titulo de contribuição Negocial Patronal, destinada a manutenção da Entidade, com fundamento na Lei 5.452 Art. 513 Alinea “E” da CLT. A empresa que se instalar na base terri</w:t>
                  </w:r>
                  <w:r>
                    <w:t>torial no período compreendido entre 01/01/17 a 01/01/18, também deve efetuar a contribuição tendo como base a quantidade de empregados existente na empresa nomes de abertura e o recolhimento deve ser efetuado até o dia 30 do mesmo mês.</w:t>
                  </w:r>
                </w:p>
                <w:p w:rsidR="00000000" w:rsidRDefault="00EE2302">
                  <w:pPr>
                    <w:jc w:val="both"/>
                  </w:pPr>
                  <w:r>
                    <w:t> </w:t>
                  </w:r>
                </w:p>
                <w:p w:rsidR="00000000" w:rsidRDefault="00EE230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  <w:u w:val="single"/>
                    </w:rPr>
                    <w:t>Parágrafo Único</w:t>
                  </w:r>
                  <w:r>
                    <w:rPr>
                      <w:rFonts w:ascii="Arial" w:hAnsi="Arial" w:cs="Arial"/>
                    </w:rPr>
                    <w:t xml:space="preserve">: </w:t>
                  </w:r>
                  <w:r>
                    <w:rPr>
                      <w:rFonts w:ascii="Arial" w:hAnsi="Arial" w:cs="Arial"/>
                    </w:rPr>
                    <w:t>A referida contribuição deverá ser recolhida através de guia fornecida pelo Sindicato econômico.</w:t>
                  </w:r>
                </w:p>
                <w:p w:rsidR="00000000" w:rsidRDefault="00EE2302">
                  <w:pPr>
                    <w:jc w:val="both"/>
                  </w:pPr>
                  <w:r>
                    <w:t> 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QUADRAGÉSIMA NONA - CONTRIBUIÇÃO CONFEDERATIVA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Com fundamento no Art. 8º inciso IV da Constituiçã</w:t>
                  </w:r>
                  <w:r>
                    <w:rPr>
                      <w:rFonts w:ascii="Arial" w:hAnsi="Arial" w:cs="Arial"/>
                    </w:rPr>
                    <w:t xml:space="preserve">o Federal, restou estabelecida em Assembleia Geral Extraordinária, com os integrantes da categoria (sócios e não sócios), a Contribuição Confederativa Patronal, pelas empresas abrangidas pelo presente convenção de trabalho, nas quantias, e de conformidade </w:t>
                  </w:r>
                  <w:r>
                    <w:rPr>
                      <w:rFonts w:ascii="Arial" w:hAnsi="Arial" w:cs="Arial"/>
                    </w:rPr>
                    <w:t>com a tabela a seguir.</w:t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  </w:t>
                  </w:r>
                </w:p>
                <w:tbl>
                  <w:tblPr>
                    <w:tblW w:w="0" w:type="auto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926"/>
                    <w:gridCol w:w="3536"/>
                    <w:gridCol w:w="2638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39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</w:pPr>
                        <w:r>
                          <w:rPr>
                            <w:rStyle w:val="Forte"/>
                          </w:rPr>
                          <w:t>Numero de Empregados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</w:pPr>
                        <w:r>
                          <w:rPr>
                            <w:rStyle w:val="Forte"/>
                          </w:rPr>
                          <w:t>Vencimento</w:t>
                        </w:r>
                      </w:p>
                      <w:p w:rsidR="00000000" w:rsidRDefault="00EE2302">
                        <w:pPr>
                          <w:pStyle w:val="NormalWeb"/>
                        </w:pPr>
                        <w:r>
                          <w:rPr>
                            <w:rStyle w:val="Forte"/>
                          </w:rPr>
                          <w:t>08/08/2017</w:t>
                        </w:r>
                      </w:p>
                    </w:tc>
                    <w:tc>
                      <w:tcPr>
                        <w:tcW w:w="2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</w:pPr>
                        <w:r>
                          <w:rPr>
                            <w:rStyle w:val="Forte"/>
                          </w:rPr>
                          <w:t>Vencimento</w:t>
                        </w:r>
                      </w:p>
                      <w:p w:rsidR="00000000" w:rsidRDefault="00EE2302">
                        <w:pPr>
                          <w:pStyle w:val="NormalWeb"/>
                        </w:pPr>
                        <w:r>
                          <w:rPr>
                            <w:rStyle w:val="Forte"/>
                          </w:rPr>
                          <w:t>15/12/2017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9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</w:pPr>
                        <w:r>
                          <w:rPr>
                            <w:rStyle w:val="Forte"/>
                          </w:rPr>
                          <w:t>Empresas sem Empregados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</w:pPr>
                        <w:r>
                          <w:t>R$ 100,00</w:t>
                        </w:r>
                      </w:p>
                    </w:tc>
                    <w:tc>
                      <w:tcPr>
                        <w:tcW w:w="2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</w:pPr>
                        <w:r>
                          <w:t>R$ 100,00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9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</w:pPr>
                        <w:r>
                          <w:rPr>
                            <w:rStyle w:val="Forte"/>
                          </w:rPr>
                          <w:t>01  á   06 Empregados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</w:pPr>
                        <w:r>
                          <w:t>R$ 240,00</w:t>
                        </w:r>
                      </w:p>
                    </w:tc>
                    <w:tc>
                      <w:tcPr>
                        <w:tcW w:w="2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</w:pPr>
                        <w:r>
                          <w:t>R$ 240,00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9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</w:pPr>
                        <w:r>
                          <w:rPr>
                            <w:rStyle w:val="Forte"/>
                          </w:rPr>
                          <w:t>07  á   10 Empregados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</w:pPr>
                        <w:r>
                          <w:t>R$ 400,00</w:t>
                        </w:r>
                      </w:p>
                    </w:tc>
                    <w:tc>
                      <w:tcPr>
                        <w:tcW w:w="2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</w:pPr>
                        <w:r>
                          <w:t>R$ 400,00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9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</w:pPr>
                        <w:r>
                          <w:rPr>
                            <w:rStyle w:val="Forte"/>
                          </w:rPr>
                          <w:t>11 acima</w:t>
                        </w:r>
                      </w:p>
                    </w:tc>
                    <w:tc>
                      <w:tcPr>
                        <w:tcW w:w="35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</w:pPr>
                        <w:r>
                          <w:t>R$ 600,00</w:t>
                        </w:r>
                      </w:p>
                    </w:tc>
                    <w:tc>
                      <w:tcPr>
                        <w:tcW w:w="26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hideMark/>
                      </w:tcPr>
                      <w:p w:rsidR="00000000" w:rsidRDefault="00EE2302">
                        <w:pPr>
                          <w:pStyle w:val="NormalWeb"/>
                        </w:pPr>
                        <w:r>
                          <w:t>R$ 600,00</w:t>
                        </w:r>
                      </w:p>
                    </w:tc>
                  </w:tr>
                </w:tbl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</w:rPr>
                    <w:lastRenderedPageBreak/>
                    <w:t>Par</w:t>
                  </w:r>
                  <w:r>
                    <w:rPr>
                      <w:rStyle w:val="Forte"/>
                      <w:rFonts w:ascii="Arial" w:hAnsi="Arial" w:cs="Arial"/>
                    </w:rPr>
                    <w:t>ágrafo Primeiro:</w:t>
                  </w:r>
                  <w:r>
                    <w:rPr>
                      <w:rFonts w:ascii="Arial" w:hAnsi="Arial" w:cs="Arial"/>
                    </w:rPr>
                    <w:t> As referidas contribuições deverão ser recolhidas, através de boletos fornecidos pelo Sindicato, do Banco do Brasil, ou através de cheque nominal cruzado ou dinheiro, diretamente na sede do Sindicato, até o dia do vencimento.</w:t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</w:rPr>
                    <w:t>Parágrafo Seg</w:t>
                  </w:r>
                  <w:r>
                    <w:rPr>
                      <w:rStyle w:val="Forte"/>
                      <w:rFonts w:ascii="Arial" w:hAnsi="Arial" w:cs="Arial"/>
                    </w:rPr>
                    <w:t>undo</w:t>
                  </w:r>
                  <w:r>
                    <w:rPr>
                      <w:rFonts w:ascii="Arial" w:hAnsi="Arial" w:cs="Arial"/>
                    </w:rPr>
                    <w:t>: A falta de recolhimento da contribuição ou recolhimento fora do prazo acima estabelecido importará na cobrança de 2% (dois por cento) de multa e mais 01 (um por cento) de juros ao mês sobre o valor devido, bem como honorários advocatícios).</w:t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Style w:val="Forte"/>
                      <w:rFonts w:ascii="Arial" w:hAnsi="Arial" w:cs="Arial"/>
                    </w:rPr>
                    <w:t>Parágrafo</w:t>
                  </w:r>
                  <w:r>
                    <w:rPr>
                      <w:rStyle w:val="Forte"/>
                      <w:rFonts w:ascii="Arial" w:hAnsi="Arial" w:cs="Arial"/>
                    </w:rPr>
                    <w:t xml:space="preserve"> Terceiro</w:t>
                  </w:r>
                  <w:r>
                    <w:rPr>
                      <w:rFonts w:ascii="Arial" w:hAnsi="Arial" w:cs="Arial"/>
                    </w:rPr>
                    <w:t>: As empresas associados e em dia com as demais obrigações com o Sindicato (mensalidade, contribuição sindical), estão isentas do pagamento desta Contribuição.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- CONTRIBUIÇÃO NEGOCIAL PROFISSIONAL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As empresas abrangidas</w:t>
                  </w:r>
                  <w:r>
                    <w:rPr>
                      <w:rFonts w:ascii="Arial" w:hAnsi="Arial" w:cs="Arial"/>
                    </w:rPr>
                    <w:t xml:space="preserve"> por esta Convenção Coletiva de Trabalho, descontarão de todos os seus empregados, pertencentes a categoria profissional o percentual de 3% (três por cento) no mês de Julho de 2.017 e 3% (três por cento) no mês de Novembro de 2.017, sobre a remuneração de </w:t>
                  </w:r>
                  <w:r>
                    <w:rPr>
                      <w:rFonts w:ascii="Arial" w:hAnsi="Arial" w:cs="Arial"/>
                    </w:rPr>
                    <w:t>acordo com a Lei 5.452/1943, Art. 513 alínea “e” da CLT, recolhendo até o dia 10 do mês subseqüente ao desconto, conforme decisão da Categoria em Assembléia Geral realizada no dia 19 de Maio de 2.017. </w:t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EE230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t> 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Direito de Oposição ao Desconto de Contribui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ções Sindicais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PRIMEIRA - DIREITO DE OPOSIÇÃO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Será garantido o direito de oposição ao desconto das contribuições a todo e qualquer trabalhador, devendo manifestar-se individualmente e por escrito na sede da entidade sindical pr</w:t>
                  </w:r>
                  <w:r>
                    <w:rPr>
                      <w:rFonts w:ascii="Arial" w:hAnsi="Arial" w:cs="Arial"/>
                    </w:rPr>
                    <w:t>ofissional em Joaçaba sito na Rua Frei Rogerio, 525, Centro em Joaçaba e na sub-sede em Campos Novos, sito a Rua Tancredo Neves, 37 – Centro, no prazo de 10 (dez) dias antes da efetivação do desconto.</w:t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 xml:space="preserve">Paragrafo Único: Quando a oposição for encaminhada por </w:t>
                  </w:r>
                  <w:r>
                    <w:rPr>
                      <w:rFonts w:ascii="Arial" w:hAnsi="Arial" w:cs="Arial"/>
                    </w:rPr>
                    <w:t>outros meios de comunicação, como: e-mail, ou carta com AR (aviso de recebimento) pelo correio, deverá o empregado no prazo de 30 (trinta) dias do envio de sua manifestação comparecer na sede do sindicato para fazer a sua ratificação.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lastRenderedPageBreak/>
                    <w:t xml:space="preserve">Outras disposições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sobre relação entre sindicato e empresa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SEGUNDA - RELAÇÃO DE EMPREGADOS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jc w:val="both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As empresas ficam obrigadas a enviar a esta entidade, Sindicato dos Empregados no Comércio de Joaçaba, até 15º dia do mês subsequente ao reajuste negociado</w:t>
                  </w:r>
                  <w:r>
                    <w:rPr>
                      <w:rFonts w:ascii="Arial" w:hAnsi="Arial" w:cs="Arial"/>
                    </w:rPr>
                    <w:t>, a relação dos empregados abrangidos por esta Convenção Coletiva de Trabalho, sindicalizados ou não sindicalizados, com seus respectivos salários devidamente reajustados.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Disposições Gerais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Regras para a Negociação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>CLÁUSULA QUINQUAGÉ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SIMA TERCEIRA - RENEGOCIAÇÃO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</w:rPr>
                    <w:t>Baseado no instituto da livre negociação, as partes reunir-se-ão novamente em qualquer data, para discussão de eventuais reivindicações da categoria profissional, bem como a Política Salarial que esteja em vigor.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Descumpri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mento do Instrumento Coletivo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  <w:t xml:space="preserve">CLÁUSULA QUINQUAGÉSIMA QUARTA - PENALIDADES PELO NÃO CUMPRIMENTO DA CONVENÇÃO 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jc w:val="both"/>
                  </w:pPr>
                  <w:r>
                    <w:t>Multa de três salários normativos da categoria profissional, por empregado e por infração, pelo não cumprimento de qualquer das cláusulas dest</w:t>
                  </w:r>
                  <w:r>
                    <w:t>e instrumento normativo, revertendo a mesma 50% (cinquenta por cento) em favor do Sindicato dos Empregados no Comércio de Joaçaba e 50% (cinquenta por cento) ao empregado(a) prejudicado(a). Em caso de reincidência será cobrada a penalidade equivalente a 10</w:t>
                  </w:r>
                  <w:r>
                    <w:t>0% (cem por cento) do valor da penalidade aplicada.</w:t>
                  </w:r>
                </w:p>
                <w:p w:rsidR="00000000" w:rsidRDefault="00EE2302">
                  <w:pPr>
                    <w:spacing w:after="240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116"/>
                  </w:tblGrid>
                  <w:tr w:rsidR="00000000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000000" w:rsidRDefault="00EE2302">
                        <w:pPr>
                          <w:jc w:val="center"/>
                          <w:rPr>
                            <w:rFonts w:eastAsia="Times New Roman"/>
                          </w:rPr>
                        </w:pP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EDSON PAULO DAMIN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SINDICATO DOS EMPREGADOS NO COMERCIO E EM EMPRESAS DE SERVICOS CONTABEIS DE JOACABA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t xml:space="preserve">SERGIO DE GIACOMETTI </w:t>
                        </w:r>
                        <w:r>
                          <w:rPr>
                            <w:rFonts w:eastAsia="Times New Roman"/>
                          </w:rPr>
                          <w:br/>
                          <w:t xml:space="preserve">Presidente </w:t>
                        </w:r>
                        <w:r>
                          <w:rPr>
                            <w:rFonts w:eastAsia="Times New Roman"/>
                          </w:rPr>
                          <w:br/>
                          <w:t>SIND DO COM VAREJ DE PRODUTOS FARMACEUTICOS DO</w:t>
                        </w:r>
                        <w:r>
                          <w:rPr>
                            <w:rFonts w:eastAsia="Times New Roman"/>
                          </w:rPr>
                          <w:t xml:space="preserve"> OES CAT </w:t>
                        </w:r>
                        <w:r>
                          <w:rPr>
                            <w:rFonts w:eastAsia="Times New Roman"/>
                          </w:rPr>
                          <w:br/>
                        </w:r>
                        <w:r>
                          <w:rPr>
                            <w:rFonts w:eastAsia="Times New Roman"/>
                          </w:rPr>
                          <w:lastRenderedPageBreak/>
                          <w:br/>
                        </w:r>
                      </w:p>
                    </w:tc>
                  </w:tr>
                </w:tbl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EE2302">
                  <w:pPr>
                    <w:jc w:val="center"/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>ANEXO I - ATA DA ASSEMBLEIA DOS EMPREGADOS NO COM. VAR. DE PRODUTOS FARMACÊUTICOS</w:t>
                  </w:r>
                  <w:r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</w:rPr>
                    <w:t xml:space="preserve"> </w:t>
                  </w:r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</w:p>
                <w:p w:rsidR="00000000" w:rsidRDefault="00EE2302">
                  <w:pPr>
                    <w:pStyle w:val="NormalWeb"/>
                    <w:rPr>
                      <w:rFonts w:ascii="Arial" w:hAnsi="Arial" w:cs="Arial"/>
                      <w:sz w:val="21"/>
                      <w:szCs w:val="21"/>
                    </w:rPr>
                  </w:pPr>
                  <w:hyperlink r:id="rId4" w:tgtFrame="_blank" w:history="1">
                    <w:r>
                      <w:rPr>
                        <w:rStyle w:val="Hyperlink"/>
                        <w:rFonts w:ascii="Arial" w:hAnsi="Arial" w:cs="Arial"/>
                        <w:sz w:val="21"/>
                        <w:szCs w:val="21"/>
                      </w:rPr>
                      <w:t>Anexo (PDF)</w:t>
                    </w:r>
                  </w:hyperlink>
                </w:p>
                <w:p w:rsidR="00000000" w:rsidRDefault="00EE2302">
                  <w:pPr>
                    <w:rPr>
                      <w:rFonts w:ascii="Arial" w:eastAsia="Times New Roman" w:hAnsi="Arial" w:cs="Arial"/>
                      <w:sz w:val="21"/>
                      <w:szCs w:val="21"/>
                    </w:rPr>
                  </w:pP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    A autenticida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>de deste documento poderá ser confirmada na página do Ministério do Trabalho e Emprego na Internet, no endereço http://www.mte.gov.br.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</w:rPr>
                    <w:t xml:space="preserve"> </w:t>
                  </w:r>
                </w:p>
              </w:tc>
            </w:tr>
          </w:tbl>
          <w:p w:rsidR="00000000" w:rsidRDefault="00EE2302">
            <w:pPr>
              <w:rPr>
                <w:rFonts w:eastAsia="Times New Roman"/>
              </w:rPr>
            </w:pPr>
          </w:p>
        </w:tc>
      </w:tr>
    </w:tbl>
    <w:p w:rsidR="00EE2302" w:rsidRDefault="00EE2302">
      <w:pPr>
        <w:rPr>
          <w:rFonts w:eastAsia="Times New Roman"/>
        </w:rPr>
      </w:pPr>
    </w:p>
    <w:sectPr w:rsidR="00EE2302">
      <w:pgSz w:w="11907" w:h="16840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1137F"/>
    <w:rsid w:val="0011137F"/>
    <w:rsid w:val="00EE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28090-A34B-4C60-BF58-0D495526B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4">
    <w:name w:val="heading 4"/>
    <w:basedOn w:val="Normal"/>
    <w:link w:val="Ttulo4Char"/>
    <w:uiPriority w:val="9"/>
    <w:qFormat/>
    <w:pPr>
      <w:spacing w:before="100" w:beforeAutospacing="1" w:after="100" w:afterAutospacing="1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r-formataoHTML">
    <w:name w:val="HTML Preformatted"/>
    <w:basedOn w:val="Normal"/>
    <w:link w:val="Pr-formataoHTML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Pr>
      <w:rFonts w:ascii="Consolas" w:eastAsiaTheme="minorEastAsia" w:hAnsi="Consolas"/>
    </w:rPr>
  </w:style>
  <w:style w:type="paragraph" w:customStyle="1" w:styleId="titulo">
    <w:name w:val="titul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ubtitulo">
    <w:name w:val="subtitulo"/>
    <w:basedOn w:val="Normal"/>
    <w:pP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ituloclausula">
    <w:name w:val="titul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descricaoclausula">
    <w:name w:val="descricaoclausula"/>
    <w:basedOn w:val="Normal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textogrupo">
    <w:name w:val="textogrupo"/>
    <w:basedOn w:val="Normal"/>
    <w:pPr>
      <w:spacing w:before="100" w:beforeAutospacing="1" w:after="100" w:afterAutospacing="1"/>
    </w:pPr>
    <w:rPr>
      <w:rFonts w:ascii="Arial" w:hAnsi="Arial" w:cs="Arial"/>
      <w:caps/>
      <w:sz w:val="27"/>
      <w:szCs w:val="27"/>
    </w:rPr>
  </w:style>
  <w:style w:type="paragraph" w:customStyle="1" w:styleId="textosubgrupo">
    <w:name w:val="textosubgrupo"/>
    <w:basedOn w:val="Normal"/>
    <w:pPr>
      <w:spacing w:before="100" w:beforeAutospacing="1" w:after="100" w:afterAutospacing="1"/>
    </w:pPr>
    <w:rPr>
      <w:rFonts w:ascii="Arial" w:hAnsi="Arial" w:cs="Arial"/>
      <w:caps/>
    </w:rPr>
  </w:style>
  <w:style w:type="paragraph" w:customStyle="1" w:styleId="textonome">
    <w:name w:val="textonome"/>
    <w:basedOn w:val="Normal"/>
    <w:pPr>
      <w:spacing w:before="100" w:beforeAutospacing="1" w:after="100" w:afterAutospacing="1"/>
    </w:pPr>
    <w:rPr>
      <w:rFonts w:ascii="Arial" w:hAnsi="Arial" w:cs="Arial"/>
      <w:b/>
      <w:bCs/>
      <w:caps/>
      <w:sz w:val="18"/>
      <w:szCs w:val="18"/>
    </w:rPr>
  </w:style>
  <w:style w:type="paragraph" w:customStyle="1" w:styleId="textofuncao">
    <w:name w:val="textofuncao"/>
    <w:basedOn w:val="Normal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pagebreak">
    <w:name w:val="pagebreak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Ttulo4Char">
    <w:name w:val="Título 4 Char"/>
    <w:basedOn w:val="Fontepargpadro"/>
    <w:link w:val="Ttulo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3.mte.gov.br/sistemas/mediador/imagemAnexo/MR044877_20172017_07_13T13_42_09.pdf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3569</Words>
  <Characters>19273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Mediador - Extrato Convenção Coletiva </vt:lpstr>
    </vt:vector>
  </TitlesOfParts>
  <Company/>
  <LinksUpToDate>false</LinksUpToDate>
  <CharactersWithSpaces>22797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Mediador - Extrato Convenção Coletiva</dc:title>
  <dc:subject/>
  <dc:creator>Usuário do Windows</dc:creator>
  <cp:keywords/>
  <dc:description/>
  <cp:lastModifiedBy>Usuário do Windows</cp:lastModifiedBy>
  <cp:revision>2</cp:revision>
  <dcterms:created xsi:type="dcterms:W3CDTF">2017-08-02T20:57:00Z</dcterms:created>
  <dcterms:modified xsi:type="dcterms:W3CDTF">2017-08-02T20:57:00Z</dcterms:modified>
</cp:coreProperties>
</file>